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017B5" w:rsidRPr="006C7822" w:rsidRDefault="009017B5" w:rsidP="00C35B4A">
      <w:pPr>
        <w:spacing w:line="480" w:lineRule="auto"/>
        <w:jc w:val="both"/>
        <w:rPr>
          <w:rFonts w:ascii="Times New Roman" w:hAnsi="Times New Roman" w:cs="Times New Roman"/>
          <w:sz w:val="24"/>
          <w:szCs w:val="24"/>
          <w:shd w:val="clear" w:color="auto" w:fill="FFFFFF"/>
        </w:rPr>
      </w:pPr>
      <w:bookmarkStart w:id="0" w:name="_GoBack"/>
      <w:bookmarkEnd w:id="0"/>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9017B5" w:rsidRPr="006C7822" w:rsidRDefault="009017B5" w:rsidP="00C35B4A">
      <w:pPr>
        <w:spacing w:line="480" w:lineRule="auto"/>
        <w:jc w:val="both"/>
        <w:rPr>
          <w:rFonts w:ascii="Times New Roman" w:hAnsi="Times New Roman" w:cs="Times New Roman"/>
          <w:sz w:val="24"/>
          <w:szCs w:val="24"/>
          <w:shd w:val="clear" w:color="auto" w:fill="FFFFFF"/>
        </w:rPr>
      </w:pPr>
    </w:p>
    <w:p w:rsidR="006C7822" w:rsidRPr="006C7822" w:rsidRDefault="006C7822" w:rsidP="006C7822">
      <w:pPr>
        <w:spacing w:line="480" w:lineRule="auto"/>
        <w:jc w:val="center"/>
        <w:rPr>
          <w:rFonts w:ascii="Times New Roman" w:hAnsi="Times New Roman" w:cs="Times New Roman"/>
          <w:color w:val="222222"/>
          <w:sz w:val="24"/>
          <w:szCs w:val="24"/>
          <w:shd w:val="clear" w:color="auto" w:fill="FFFFFF"/>
        </w:rPr>
      </w:pPr>
      <w:r w:rsidRPr="006C7822">
        <w:rPr>
          <w:rFonts w:ascii="Times New Roman" w:hAnsi="Times New Roman" w:cs="Times New Roman"/>
          <w:color w:val="222222"/>
          <w:sz w:val="24"/>
          <w:szCs w:val="24"/>
          <w:shd w:val="clear" w:color="auto" w:fill="FFFFFF"/>
        </w:rPr>
        <w:t xml:space="preserve">Stock Valuation </w:t>
      </w:r>
    </w:p>
    <w:p w:rsidR="0097726B" w:rsidRPr="006C7822" w:rsidRDefault="0097726B" w:rsidP="00C35B4A">
      <w:pPr>
        <w:spacing w:line="480" w:lineRule="auto"/>
        <w:jc w:val="center"/>
        <w:rPr>
          <w:rFonts w:ascii="Times New Roman" w:hAnsi="Times New Roman" w:cs="Times New Roman"/>
          <w:sz w:val="24"/>
          <w:szCs w:val="24"/>
          <w:shd w:val="clear" w:color="auto" w:fill="FFFFFF"/>
        </w:rPr>
      </w:pPr>
      <w:r w:rsidRPr="006C7822">
        <w:rPr>
          <w:rFonts w:ascii="Times New Roman" w:hAnsi="Times New Roman" w:cs="Times New Roman"/>
          <w:sz w:val="24"/>
          <w:szCs w:val="24"/>
          <w:lang w:val="en-GB"/>
        </w:rPr>
        <w:t>Name</w:t>
      </w:r>
    </w:p>
    <w:p w:rsidR="0097726B" w:rsidRPr="006C7822" w:rsidRDefault="005135C6" w:rsidP="00C35B4A">
      <w:pPr>
        <w:spacing w:line="480" w:lineRule="auto"/>
        <w:jc w:val="center"/>
        <w:rPr>
          <w:rFonts w:ascii="Times New Roman" w:hAnsi="Times New Roman" w:cs="Times New Roman"/>
          <w:sz w:val="24"/>
          <w:szCs w:val="24"/>
          <w:shd w:val="clear" w:color="auto" w:fill="FFFFFF"/>
        </w:rPr>
      </w:pPr>
      <w:r w:rsidRPr="006C7822">
        <w:rPr>
          <w:rFonts w:ascii="Times New Roman" w:hAnsi="Times New Roman" w:cs="Times New Roman"/>
          <w:sz w:val="24"/>
          <w:szCs w:val="24"/>
          <w:lang w:val="en-GB"/>
        </w:rPr>
        <w:t>Institutional Affiliation</w:t>
      </w:r>
    </w:p>
    <w:p w:rsidR="00D417A0" w:rsidRPr="006C7822" w:rsidRDefault="00D417A0" w:rsidP="00C35B4A">
      <w:pPr>
        <w:spacing w:line="480" w:lineRule="auto"/>
        <w:rPr>
          <w:rFonts w:ascii="Times New Roman" w:hAnsi="Times New Roman" w:cs="Times New Roman"/>
          <w:sz w:val="24"/>
          <w:szCs w:val="24"/>
          <w:lang w:val="en-GB"/>
        </w:rPr>
      </w:pPr>
      <w:r w:rsidRPr="006C7822">
        <w:rPr>
          <w:rFonts w:ascii="Times New Roman" w:hAnsi="Times New Roman" w:cs="Times New Roman"/>
          <w:sz w:val="24"/>
          <w:szCs w:val="24"/>
          <w:lang w:val="en-GB"/>
        </w:rPr>
        <w:br w:type="page"/>
      </w:r>
    </w:p>
    <w:p w:rsidR="00C35B4A" w:rsidRPr="006C7822" w:rsidRDefault="006C7822" w:rsidP="00C35B4A">
      <w:pPr>
        <w:spacing w:line="480" w:lineRule="auto"/>
        <w:jc w:val="center"/>
        <w:rPr>
          <w:rFonts w:ascii="Times New Roman" w:hAnsi="Times New Roman" w:cs="Times New Roman"/>
          <w:color w:val="222222"/>
          <w:sz w:val="24"/>
          <w:szCs w:val="24"/>
          <w:shd w:val="clear" w:color="auto" w:fill="FFFFFF"/>
        </w:rPr>
      </w:pPr>
      <w:r w:rsidRPr="006C7822">
        <w:rPr>
          <w:rFonts w:ascii="Times New Roman" w:hAnsi="Times New Roman" w:cs="Times New Roman"/>
          <w:color w:val="222222"/>
          <w:sz w:val="24"/>
          <w:szCs w:val="24"/>
          <w:shd w:val="clear" w:color="auto" w:fill="FFFFFF"/>
        </w:rPr>
        <w:lastRenderedPageBreak/>
        <w:t xml:space="preserve">Stock Valuation </w:t>
      </w:r>
    </w:p>
    <w:p w:rsidR="006C7822" w:rsidRPr="006C7822" w:rsidRDefault="006C7822" w:rsidP="006C7822">
      <w:pPr>
        <w:spacing w:line="480" w:lineRule="auto"/>
        <w:rPr>
          <w:rFonts w:ascii="Times New Roman" w:hAnsi="Times New Roman" w:cs="Times New Roman"/>
          <w:b/>
          <w:sz w:val="24"/>
          <w:szCs w:val="24"/>
        </w:rPr>
      </w:pPr>
      <w:r w:rsidRPr="006C7822">
        <w:rPr>
          <w:rFonts w:ascii="Times New Roman" w:hAnsi="Times New Roman" w:cs="Times New Roman"/>
          <w:b/>
          <w:sz w:val="24"/>
          <w:szCs w:val="24"/>
        </w:rPr>
        <w:t>Explain why the estimates from the two valuation methods differ</w:t>
      </w:r>
    </w:p>
    <w:p w:rsidR="006C7822" w:rsidRPr="006C7822" w:rsidRDefault="006C7822" w:rsidP="006C7822">
      <w:pPr>
        <w:spacing w:line="480" w:lineRule="auto"/>
        <w:ind w:firstLine="720"/>
        <w:rPr>
          <w:rFonts w:ascii="Times New Roman" w:hAnsi="Times New Roman" w:cs="Times New Roman"/>
          <w:sz w:val="24"/>
          <w:szCs w:val="24"/>
        </w:rPr>
      </w:pPr>
      <w:r w:rsidRPr="006C7822">
        <w:rPr>
          <w:rFonts w:ascii="Times New Roman" w:hAnsi="Times New Roman" w:cs="Times New Roman"/>
          <w:sz w:val="24"/>
          <w:szCs w:val="24"/>
        </w:rPr>
        <w:t>The dividend discount model discounts the projected dividend stream with an aim to present value. It takes into consideration the only dividend stream to common shareholders. The discounted cash flow looks for the expected future cash flow at a discounted rate</w:t>
      </w:r>
      <w:r w:rsidRPr="006C7822">
        <w:rPr>
          <w:rFonts w:ascii="Times New Roman" w:hAnsi="Times New Roman" w:cs="Times New Roman"/>
          <w:color w:val="222222"/>
          <w:sz w:val="24"/>
          <w:szCs w:val="24"/>
          <w:shd w:val="clear" w:color="auto" w:fill="FFFFFF"/>
        </w:rPr>
        <w:t xml:space="preserve"> (Damodaran, 2007)</w:t>
      </w:r>
      <w:r w:rsidRPr="006C7822">
        <w:rPr>
          <w:rFonts w:ascii="Times New Roman" w:hAnsi="Times New Roman" w:cs="Times New Roman"/>
          <w:sz w:val="24"/>
          <w:szCs w:val="24"/>
        </w:rPr>
        <w:t>. The models provide different estimates when the dividend and the additional cash earns either lower than the market interest rates or is invested in a negative existing value asset. In addition, dividend payments less than discounted cash flow model lowers the ratios for equity debt and might result in the firm becoming underleveraged, which may create a loss in value.</w:t>
      </w:r>
    </w:p>
    <w:p w:rsidR="006C7822" w:rsidRPr="006C7822" w:rsidRDefault="006C7822" w:rsidP="006C7822">
      <w:pPr>
        <w:spacing w:line="480" w:lineRule="auto"/>
        <w:rPr>
          <w:rFonts w:ascii="Times New Roman" w:hAnsi="Times New Roman" w:cs="Times New Roman"/>
          <w:b/>
          <w:sz w:val="24"/>
          <w:szCs w:val="24"/>
        </w:rPr>
      </w:pPr>
      <w:r w:rsidRPr="006C7822">
        <w:rPr>
          <w:rFonts w:ascii="Times New Roman" w:hAnsi="Times New Roman" w:cs="Times New Roman"/>
          <w:b/>
          <w:sz w:val="24"/>
          <w:szCs w:val="24"/>
        </w:rPr>
        <w:t>Address the assumptions implicit in the models themselves as well as those you made during the valuation process.</w:t>
      </w:r>
    </w:p>
    <w:p w:rsidR="006C7822" w:rsidRPr="006C7822" w:rsidRDefault="006C7822" w:rsidP="006C7822">
      <w:pPr>
        <w:spacing w:line="480" w:lineRule="auto"/>
        <w:ind w:firstLine="720"/>
        <w:rPr>
          <w:rFonts w:ascii="Times New Roman" w:hAnsi="Times New Roman" w:cs="Times New Roman"/>
          <w:sz w:val="24"/>
          <w:szCs w:val="24"/>
        </w:rPr>
      </w:pPr>
      <w:r w:rsidRPr="006C7822">
        <w:rPr>
          <w:rFonts w:ascii="Times New Roman" w:hAnsi="Times New Roman" w:cs="Times New Roman"/>
          <w:sz w:val="24"/>
          <w:szCs w:val="24"/>
        </w:rPr>
        <w:t>For the dividend discount model (DDM), the first assumption is that dividends will grow continuously. The second assumption comes from the infinite period of the expected future cash flow. To make profits for the DDM model assumptions are made about the expected growth rates in the future regarding earning. The assumptions made for this model carries risks because the growth rate could be negative, in which case the dividends would shrink over time</w:t>
      </w:r>
      <w:r w:rsidRPr="006C7822">
        <w:rPr>
          <w:rFonts w:ascii="Times New Roman" w:hAnsi="Times New Roman" w:cs="Times New Roman"/>
          <w:color w:val="222222"/>
          <w:sz w:val="24"/>
          <w:szCs w:val="24"/>
          <w:shd w:val="clear" w:color="auto" w:fill="FFFFFF"/>
        </w:rPr>
        <w:t xml:space="preserve"> (Shrieves &amp; Wachowicz 2001)</w:t>
      </w:r>
      <w:r w:rsidRPr="006C7822">
        <w:rPr>
          <w:rFonts w:ascii="Times New Roman" w:hAnsi="Times New Roman" w:cs="Times New Roman"/>
          <w:sz w:val="24"/>
          <w:szCs w:val="24"/>
        </w:rPr>
        <w:t xml:space="preserve">. For discounted cash flow model, the assumptions made are projected based on the way the business will perform in future. An additional focus is on the way the performance of the company translates to the cash flow that the company generates. </w:t>
      </w:r>
    </w:p>
    <w:p w:rsidR="006C7822" w:rsidRPr="006C7822" w:rsidRDefault="006C7822" w:rsidP="006C7822">
      <w:pPr>
        <w:spacing w:line="480" w:lineRule="auto"/>
        <w:rPr>
          <w:rFonts w:ascii="Times New Roman" w:hAnsi="Times New Roman" w:cs="Times New Roman"/>
          <w:sz w:val="24"/>
          <w:szCs w:val="24"/>
        </w:rPr>
      </w:pPr>
    </w:p>
    <w:p w:rsidR="006C7822" w:rsidRPr="006C7822" w:rsidRDefault="006C7822" w:rsidP="006C7822">
      <w:pPr>
        <w:spacing w:line="480" w:lineRule="auto"/>
        <w:rPr>
          <w:rFonts w:ascii="Times New Roman" w:hAnsi="Times New Roman" w:cs="Times New Roman"/>
          <w:sz w:val="24"/>
          <w:szCs w:val="24"/>
        </w:rPr>
      </w:pPr>
    </w:p>
    <w:p w:rsidR="00A43878" w:rsidRPr="006C7822" w:rsidRDefault="0089319C" w:rsidP="00C35B4A">
      <w:pPr>
        <w:spacing w:line="480" w:lineRule="auto"/>
        <w:jc w:val="center"/>
        <w:rPr>
          <w:rFonts w:ascii="Times New Roman" w:hAnsi="Times New Roman" w:cs="Times New Roman"/>
          <w:sz w:val="24"/>
          <w:szCs w:val="24"/>
        </w:rPr>
      </w:pPr>
      <w:r w:rsidRPr="006C7822">
        <w:rPr>
          <w:rFonts w:ascii="Times New Roman" w:hAnsi="Times New Roman" w:cs="Times New Roman"/>
          <w:sz w:val="24"/>
          <w:szCs w:val="24"/>
        </w:rPr>
        <w:lastRenderedPageBreak/>
        <w:t>References</w:t>
      </w:r>
    </w:p>
    <w:p w:rsidR="006C7822" w:rsidRPr="006C7822" w:rsidRDefault="006C7822" w:rsidP="006C7822">
      <w:pPr>
        <w:pStyle w:val="Bibliography"/>
        <w:spacing w:after="200" w:line="480" w:lineRule="auto"/>
        <w:ind w:left="720" w:hanging="720"/>
        <w:rPr>
          <w:rFonts w:ascii="Times New Roman" w:hAnsi="Times New Roman" w:cs="Times New Roman"/>
          <w:color w:val="222222"/>
          <w:sz w:val="24"/>
          <w:szCs w:val="24"/>
          <w:shd w:val="clear" w:color="auto" w:fill="FFFFFF"/>
        </w:rPr>
      </w:pPr>
      <w:r w:rsidRPr="006C7822">
        <w:rPr>
          <w:rFonts w:ascii="Times New Roman" w:hAnsi="Times New Roman" w:cs="Times New Roman"/>
          <w:color w:val="222222"/>
          <w:sz w:val="24"/>
          <w:szCs w:val="24"/>
          <w:shd w:val="clear" w:color="auto" w:fill="FFFFFF"/>
        </w:rPr>
        <w:t>Damodaran, A. (2007). Valuation approaches and metrics: a survey of the theory and evidence. </w:t>
      </w:r>
      <w:r w:rsidRPr="006C7822">
        <w:rPr>
          <w:rFonts w:ascii="Times New Roman" w:hAnsi="Times New Roman" w:cs="Times New Roman"/>
          <w:i/>
          <w:iCs/>
          <w:color w:val="222222"/>
          <w:sz w:val="24"/>
          <w:szCs w:val="24"/>
          <w:shd w:val="clear" w:color="auto" w:fill="FFFFFF"/>
        </w:rPr>
        <w:t>Foundations and Trends® in Finance</w:t>
      </w:r>
      <w:r w:rsidRPr="006C7822">
        <w:rPr>
          <w:rFonts w:ascii="Times New Roman" w:hAnsi="Times New Roman" w:cs="Times New Roman"/>
          <w:color w:val="222222"/>
          <w:sz w:val="24"/>
          <w:szCs w:val="24"/>
          <w:shd w:val="clear" w:color="auto" w:fill="FFFFFF"/>
        </w:rPr>
        <w:t>, </w:t>
      </w:r>
      <w:r w:rsidRPr="006C7822">
        <w:rPr>
          <w:rFonts w:ascii="Times New Roman" w:hAnsi="Times New Roman" w:cs="Times New Roman"/>
          <w:i/>
          <w:iCs/>
          <w:color w:val="222222"/>
          <w:sz w:val="24"/>
          <w:szCs w:val="24"/>
          <w:shd w:val="clear" w:color="auto" w:fill="FFFFFF"/>
        </w:rPr>
        <w:t>1</w:t>
      </w:r>
      <w:r w:rsidRPr="006C7822">
        <w:rPr>
          <w:rFonts w:ascii="Times New Roman" w:hAnsi="Times New Roman" w:cs="Times New Roman"/>
          <w:color w:val="222222"/>
          <w:sz w:val="24"/>
          <w:szCs w:val="24"/>
          <w:shd w:val="clear" w:color="auto" w:fill="FFFFFF"/>
        </w:rPr>
        <w:t>(8), 693-784.</w:t>
      </w:r>
    </w:p>
    <w:p w:rsidR="006C7822" w:rsidRPr="006C7822" w:rsidRDefault="006C7822" w:rsidP="006C7822">
      <w:pPr>
        <w:pStyle w:val="Bibliography"/>
        <w:spacing w:after="200" w:line="480" w:lineRule="auto"/>
        <w:ind w:left="720" w:hanging="720"/>
        <w:rPr>
          <w:rFonts w:ascii="Times New Roman" w:hAnsi="Times New Roman" w:cs="Times New Roman"/>
          <w:color w:val="222222"/>
          <w:sz w:val="24"/>
          <w:szCs w:val="24"/>
          <w:shd w:val="clear" w:color="auto" w:fill="FFFFFF"/>
        </w:rPr>
      </w:pPr>
      <w:r w:rsidRPr="006C7822">
        <w:rPr>
          <w:rFonts w:ascii="Times New Roman" w:hAnsi="Times New Roman" w:cs="Times New Roman"/>
          <w:color w:val="222222"/>
          <w:sz w:val="24"/>
          <w:szCs w:val="24"/>
          <w:shd w:val="clear" w:color="auto" w:fill="FFFFFF"/>
        </w:rPr>
        <w:t>Shrieves, R. E., &amp; Wachowicz Jr, J. M. (2001). Free Cash Flow (FCF), Economic Value Added (EVA™), and Net Present Value (NPV):. A Reconciliation of Variations of Discounted-Cash-Flow (DCF) Valuation. </w:t>
      </w:r>
      <w:r w:rsidRPr="006C7822">
        <w:rPr>
          <w:rFonts w:ascii="Times New Roman" w:hAnsi="Times New Roman" w:cs="Times New Roman"/>
          <w:i/>
          <w:iCs/>
          <w:color w:val="222222"/>
          <w:sz w:val="24"/>
          <w:szCs w:val="24"/>
          <w:shd w:val="clear" w:color="auto" w:fill="FFFFFF"/>
        </w:rPr>
        <w:t>The engineering economist</w:t>
      </w:r>
      <w:r w:rsidRPr="006C7822">
        <w:rPr>
          <w:rFonts w:ascii="Times New Roman" w:hAnsi="Times New Roman" w:cs="Times New Roman"/>
          <w:color w:val="222222"/>
          <w:sz w:val="24"/>
          <w:szCs w:val="24"/>
          <w:shd w:val="clear" w:color="auto" w:fill="FFFFFF"/>
        </w:rPr>
        <w:t>, </w:t>
      </w:r>
      <w:r w:rsidRPr="006C7822">
        <w:rPr>
          <w:rFonts w:ascii="Times New Roman" w:hAnsi="Times New Roman" w:cs="Times New Roman"/>
          <w:i/>
          <w:iCs/>
          <w:color w:val="222222"/>
          <w:sz w:val="24"/>
          <w:szCs w:val="24"/>
          <w:shd w:val="clear" w:color="auto" w:fill="FFFFFF"/>
        </w:rPr>
        <w:t>46</w:t>
      </w:r>
      <w:r w:rsidRPr="006C7822">
        <w:rPr>
          <w:rFonts w:ascii="Times New Roman" w:hAnsi="Times New Roman" w:cs="Times New Roman"/>
          <w:color w:val="222222"/>
          <w:sz w:val="24"/>
          <w:szCs w:val="24"/>
          <w:shd w:val="clear" w:color="auto" w:fill="FFFFFF"/>
        </w:rPr>
        <w:t>(1), 33-52.</w:t>
      </w:r>
    </w:p>
    <w:sectPr w:rsidR="006C7822" w:rsidRPr="006C7822" w:rsidSect="009017B5">
      <w:headerReference w:type="default" r:id="rId8"/>
      <w:headerReference w:type="first" r:id="rId9"/>
      <w:pgSz w:w="11906" w:h="16838"/>
      <w:pgMar w:top="1135"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395D" w:rsidRDefault="0045395D" w:rsidP="00EE0CEB">
      <w:pPr>
        <w:spacing w:after="0" w:line="240" w:lineRule="auto"/>
      </w:pPr>
      <w:r>
        <w:separator/>
      </w:r>
    </w:p>
  </w:endnote>
  <w:endnote w:type="continuationSeparator" w:id="0">
    <w:p w:rsidR="0045395D" w:rsidRDefault="0045395D" w:rsidP="00EE0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395D" w:rsidRDefault="0045395D" w:rsidP="00EE0CEB">
      <w:pPr>
        <w:spacing w:after="0" w:line="240" w:lineRule="auto"/>
      </w:pPr>
      <w:r>
        <w:separator/>
      </w:r>
    </w:p>
  </w:footnote>
  <w:footnote w:type="continuationSeparator" w:id="0">
    <w:p w:rsidR="0045395D" w:rsidRDefault="0045395D" w:rsidP="00EE0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617D8A" w:rsidRDefault="006C7822" w:rsidP="00617D8A">
    <w:pPr>
      <w:rPr>
        <w:rFonts w:ascii="Times New Roman" w:hAnsi="Times New Roman" w:cs="Times New Roman"/>
        <w:color w:val="222222"/>
        <w:sz w:val="24"/>
        <w:shd w:val="clear" w:color="auto" w:fill="FFFFFF"/>
      </w:rPr>
    </w:pPr>
    <w:r w:rsidRPr="006C7822">
      <w:rPr>
        <w:rFonts w:ascii="Times New Roman" w:hAnsi="Times New Roman" w:cs="Times New Roman"/>
        <w:color w:val="222222"/>
        <w:sz w:val="24"/>
        <w:szCs w:val="24"/>
        <w:shd w:val="clear" w:color="auto" w:fill="FFFFFF"/>
      </w:rPr>
      <w:t>STOCK VALUATION</w:t>
    </w:r>
    <w:r>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17C5">
      <w:rPr>
        <w:rFonts w:ascii="Times New Roman" w:hAnsi="Times New Roman" w:cs="Times New Roman"/>
        <w:sz w:val="24"/>
        <w:szCs w:val="24"/>
      </w:rPr>
      <w:tab/>
    </w:r>
    <w:r w:rsidR="002540AE" w:rsidRPr="006F3F78">
      <w:rPr>
        <w:rFonts w:ascii="Times New Roman" w:hAnsi="Times New Roman" w:cs="Times New Roman"/>
        <w:sz w:val="24"/>
        <w:szCs w:val="24"/>
      </w:rPr>
      <w:fldChar w:fldCharType="begin"/>
    </w:r>
    <w:r w:rsidR="00F93000" w:rsidRPr="006F3F78">
      <w:rPr>
        <w:rFonts w:ascii="Times New Roman" w:hAnsi="Times New Roman" w:cs="Times New Roman"/>
        <w:sz w:val="24"/>
        <w:szCs w:val="24"/>
      </w:rPr>
      <w:instrText xml:space="preserve"> PAGE   \* MERGEFORMAT </w:instrText>
    </w:r>
    <w:r w:rsidR="002540AE" w:rsidRPr="006F3F78">
      <w:rPr>
        <w:rFonts w:ascii="Times New Roman" w:hAnsi="Times New Roman" w:cs="Times New Roman"/>
        <w:sz w:val="24"/>
        <w:szCs w:val="24"/>
      </w:rPr>
      <w:fldChar w:fldCharType="separate"/>
    </w:r>
    <w:r w:rsidR="00B525CD">
      <w:rPr>
        <w:rFonts w:ascii="Times New Roman" w:hAnsi="Times New Roman" w:cs="Times New Roman"/>
        <w:noProof/>
        <w:sz w:val="24"/>
        <w:szCs w:val="24"/>
      </w:rPr>
      <w:t>2</w:t>
    </w:r>
    <w:r w:rsidR="002540AE" w:rsidRPr="006F3F78">
      <w:rPr>
        <w:rFonts w:ascii="Times New Roman" w:hAnsi="Times New Roman" w:cs="Times New Roman"/>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62C1" w:rsidRPr="00C35B4A" w:rsidRDefault="002162C1" w:rsidP="006C7822">
    <w:pPr>
      <w:spacing w:line="480" w:lineRule="auto"/>
      <w:rPr>
        <w:rFonts w:ascii="Times New Roman" w:hAnsi="Times New Roman" w:cs="Times New Roman"/>
        <w:color w:val="222222"/>
        <w:sz w:val="24"/>
        <w:szCs w:val="24"/>
        <w:shd w:val="clear" w:color="auto" w:fill="FFFFFF"/>
      </w:rPr>
    </w:pPr>
    <w:r w:rsidRPr="00D71ECA">
      <w:rPr>
        <w:rFonts w:ascii="Times New Roman" w:hAnsi="Times New Roman" w:cs="Times New Roman"/>
        <w:sz w:val="24"/>
        <w:szCs w:val="24"/>
      </w:rPr>
      <w:t>Running head</w:t>
    </w:r>
    <w:r w:rsidR="00085728" w:rsidRPr="00D71ECA">
      <w:rPr>
        <w:rFonts w:ascii="Times New Roman" w:hAnsi="Times New Roman" w:cs="Times New Roman"/>
        <w:sz w:val="24"/>
        <w:szCs w:val="24"/>
      </w:rPr>
      <w:t>:</w:t>
    </w:r>
    <w:r w:rsidR="00085728" w:rsidRPr="00D71ECA">
      <w:rPr>
        <w:rFonts w:ascii="Times New Roman" w:hAnsi="Times New Roman" w:cs="Times New Roman"/>
        <w:sz w:val="24"/>
        <w:szCs w:val="24"/>
        <w:shd w:val="clear" w:color="auto" w:fill="FFFFFF"/>
      </w:rPr>
      <w:t xml:space="preserve"> </w:t>
    </w:r>
    <w:r w:rsidR="006C7822" w:rsidRPr="006C7822">
      <w:rPr>
        <w:rFonts w:ascii="Times New Roman" w:hAnsi="Times New Roman" w:cs="Times New Roman"/>
        <w:color w:val="222222"/>
        <w:sz w:val="24"/>
        <w:szCs w:val="24"/>
        <w:shd w:val="clear" w:color="auto" w:fill="FFFFFF"/>
      </w:rPr>
      <w:t>STOCK VALUATION</w:t>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6C7822">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C35B4A">
      <w:rPr>
        <w:rFonts w:ascii="Times New Roman" w:hAnsi="Times New Roman" w:cs="Times New Roman"/>
        <w:color w:val="222222"/>
        <w:sz w:val="24"/>
        <w:szCs w:val="24"/>
        <w:shd w:val="clear" w:color="auto" w:fill="FFFFFF"/>
      </w:rPr>
      <w:tab/>
    </w:r>
    <w:r w:rsidR="002540AE" w:rsidRPr="00D71ECA">
      <w:rPr>
        <w:rFonts w:ascii="Times New Roman" w:hAnsi="Times New Roman" w:cs="Times New Roman"/>
        <w:sz w:val="24"/>
        <w:szCs w:val="24"/>
      </w:rPr>
      <w:fldChar w:fldCharType="begin"/>
    </w:r>
    <w:r w:rsidRPr="00D71ECA">
      <w:rPr>
        <w:rFonts w:ascii="Times New Roman" w:hAnsi="Times New Roman" w:cs="Times New Roman"/>
        <w:sz w:val="24"/>
        <w:szCs w:val="24"/>
      </w:rPr>
      <w:instrText xml:space="preserve"> PAGE   \* MERGEFORMAT </w:instrText>
    </w:r>
    <w:r w:rsidR="002540AE" w:rsidRPr="00D71ECA">
      <w:rPr>
        <w:rFonts w:ascii="Times New Roman" w:hAnsi="Times New Roman" w:cs="Times New Roman"/>
        <w:sz w:val="24"/>
        <w:szCs w:val="24"/>
      </w:rPr>
      <w:fldChar w:fldCharType="separate"/>
    </w:r>
    <w:r w:rsidR="00B525CD">
      <w:rPr>
        <w:rFonts w:ascii="Times New Roman" w:hAnsi="Times New Roman" w:cs="Times New Roman"/>
        <w:noProof/>
        <w:sz w:val="24"/>
        <w:szCs w:val="24"/>
      </w:rPr>
      <w:t>1</w:t>
    </w:r>
    <w:r w:rsidR="002540AE" w:rsidRPr="00D71ECA">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E96538"/>
    <w:multiLevelType w:val="hybridMultilevel"/>
    <w:tmpl w:val="C8B4319E"/>
    <w:lvl w:ilvl="0" w:tplc="4D66D2EE">
      <w:start w:val="1"/>
      <w:numFmt w:val="bullet"/>
      <w:lvlText w:val=""/>
      <w:lvlJc w:val="left"/>
      <w:pPr>
        <w:ind w:left="770" w:hanging="360"/>
      </w:pPr>
      <w:rPr>
        <w:rFonts w:ascii="Wingdings" w:hAnsi="Wingdings" w:hint="default"/>
      </w:rPr>
    </w:lvl>
    <w:lvl w:ilvl="1" w:tplc="A2B46536" w:tentative="1">
      <w:start w:val="1"/>
      <w:numFmt w:val="bullet"/>
      <w:lvlText w:val="o"/>
      <w:lvlJc w:val="left"/>
      <w:pPr>
        <w:ind w:left="1490" w:hanging="360"/>
      </w:pPr>
      <w:rPr>
        <w:rFonts w:ascii="Courier New" w:hAnsi="Courier New" w:cs="Courier New" w:hint="default"/>
      </w:rPr>
    </w:lvl>
    <w:lvl w:ilvl="2" w:tplc="471A40A6" w:tentative="1">
      <w:start w:val="1"/>
      <w:numFmt w:val="bullet"/>
      <w:lvlText w:val=""/>
      <w:lvlJc w:val="left"/>
      <w:pPr>
        <w:ind w:left="2210" w:hanging="360"/>
      </w:pPr>
      <w:rPr>
        <w:rFonts w:ascii="Wingdings" w:hAnsi="Wingdings" w:hint="default"/>
      </w:rPr>
    </w:lvl>
    <w:lvl w:ilvl="3" w:tplc="8F1E1F88" w:tentative="1">
      <w:start w:val="1"/>
      <w:numFmt w:val="bullet"/>
      <w:lvlText w:val=""/>
      <w:lvlJc w:val="left"/>
      <w:pPr>
        <w:ind w:left="2930" w:hanging="360"/>
      </w:pPr>
      <w:rPr>
        <w:rFonts w:ascii="Symbol" w:hAnsi="Symbol" w:hint="default"/>
      </w:rPr>
    </w:lvl>
    <w:lvl w:ilvl="4" w:tplc="E7D8EF86" w:tentative="1">
      <w:start w:val="1"/>
      <w:numFmt w:val="bullet"/>
      <w:lvlText w:val="o"/>
      <w:lvlJc w:val="left"/>
      <w:pPr>
        <w:ind w:left="3650" w:hanging="360"/>
      </w:pPr>
      <w:rPr>
        <w:rFonts w:ascii="Courier New" w:hAnsi="Courier New" w:cs="Courier New" w:hint="default"/>
      </w:rPr>
    </w:lvl>
    <w:lvl w:ilvl="5" w:tplc="A96C43DE" w:tentative="1">
      <w:start w:val="1"/>
      <w:numFmt w:val="bullet"/>
      <w:lvlText w:val=""/>
      <w:lvlJc w:val="left"/>
      <w:pPr>
        <w:ind w:left="4370" w:hanging="360"/>
      </w:pPr>
      <w:rPr>
        <w:rFonts w:ascii="Wingdings" w:hAnsi="Wingdings" w:hint="default"/>
      </w:rPr>
    </w:lvl>
    <w:lvl w:ilvl="6" w:tplc="19C86328" w:tentative="1">
      <w:start w:val="1"/>
      <w:numFmt w:val="bullet"/>
      <w:lvlText w:val=""/>
      <w:lvlJc w:val="left"/>
      <w:pPr>
        <w:ind w:left="5090" w:hanging="360"/>
      </w:pPr>
      <w:rPr>
        <w:rFonts w:ascii="Symbol" w:hAnsi="Symbol" w:hint="default"/>
      </w:rPr>
    </w:lvl>
    <w:lvl w:ilvl="7" w:tplc="6D32A2A0" w:tentative="1">
      <w:start w:val="1"/>
      <w:numFmt w:val="bullet"/>
      <w:lvlText w:val="o"/>
      <w:lvlJc w:val="left"/>
      <w:pPr>
        <w:ind w:left="5810" w:hanging="360"/>
      </w:pPr>
      <w:rPr>
        <w:rFonts w:ascii="Courier New" w:hAnsi="Courier New" w:cs="Courier New" w:hint="default"/>
      </w:rPr>
    </w:lvl>
    <w:lvl w:ilvl="8" w:tplc="7E702682" w:tentative="1">
      <w:start w:val="1"/>
      <w:numFmt w:val="bullet"/>
      <w:lvlText w:val=""/>
      <w:lvlJc w:val="left"/>
      <w:pPr>
        <w:ind w:left="6530" w:hanging="360"/>
      </w:pPr>
      <w:rPr>
        <w:rFonts w:ascii="Wingdings" w:hAnsi="Wingdings" w:hint="default"/>
      </w:rPr>
    </w:lvl>
  </w:abstractNum>
  <w:abstractNum w:abstractNumId="1">
    <w:nsid w:val="2D8807CB"/>
    <w:multiLevelType w:val="hybridMultilevel"/>
    <w:tmpl w:val="9CF2A0D0"/>
    <w:lvl w:ilvl="0" w:tplc="F338747C">
      <w:start w:val="1"/>
      <w:numFmt w:val="lowerRoman"/>
      <w:lvlText w:val="%1."/>
      <w:lvlJc w:val="left"/>
      <w:pPr>
        <w:ind w:left="1080" w:hanging="720"/>
      </w:pPr>
      <w:rPr>
        <w:rFonts w:hint="default"/>
      </w:rPr>
    </w:lvl>
    <w:lvl w:ilvl="1" w:tplc="34087B78" w:tentative="1">
      <w:start w:val="1"/>
      <w:numFmt w:val="lowerLetter"/>
      <w:lvlText w:val="%2."/>
      <w:lvlJc w:val="left"/>
      <w:pPr>
        <w:ind w:left="1440" w:hanging="360"/>
      </w:pPr>
    </w:lvl>
    <w:lvl w:ilvl="2" w:tplc="513AB12A" w:tentative="1">
      <w:start w:val="1"/>
      <w:numFmt w:val="lowerRoman"/>
      <w:lvlText w:val="%3."/>
      <w:lvlJc w:val="right"/>
      <w:pPr>
        <w:ind w:left="2160" w:hanging="180"/>
      </w:pPr>
    </w:lvl>
    <w:lvl w:ilvl="3" w:tplc="1DB6396C" w:tentative="1">
      <w:start w:val="1"/>
      <w:numFmt w:val="decimal"/>
      <w:lvlText w:val="%4."/>
      <w:lvlJc w:val="left"/>
      <w:pPr>
        <w:ind w:left="2880" w:hanging="360"/>
      </w:pPr>
    </w:lvl>
    <w:lvl w:ilvl="4" w:tplc="675CAFE8" w:tentative="1">
      <w:start w:val="1"/>
      <w:numFmt w:val="lowerLetter"/>
      <w:lvlText w:val="%5."/>
      <w:lvlJc w:val="left"/>
      <w:pPr>
        <w:ind w:left="3600" w:hanging="360"/>
      </w:pPr>
    </w:lvl>
    <w:lvl w:ilvl="5" w:tplc="C42A3716" w:tentative="1">
      <w:start w:val="1"/>
      <w:numFmt w:val="lowerRoman"/>
      <w:lvlText w:val="%6."/>
      <w:lvlJc w:val="right"/>
      <w:pPr>
        <w:ind w:left="4320" w:hanging="180"/>
      </w:pPr>
    </w:lvl>
    <w:lvl w:ilvl="6" w:tplc="CAFCC1F0" w:tentative="1">
      <w:start w:val="1"/>
      <w:numFmt w:val="decimal"/>
      <w:lvlText w:val="%7."/>
      <w:lvlJc w:val="left"/>
      <w:pPr>
        <w:ind w:left="5040" w:hanging="360"/>
      </w:pPr>
    </w:lvl>
    <w:lvl w:ilvl="7" w:tplc="8E722E12" w:tentative="1">
      <w:start w:val="1"/>
      <w:numFmt w:val="lowerLetter"/>
      <w:lvlText w:val="%8."/>
      <w:lvlJc w:val="left"/>
      <w:pPr>
        <w:ind w:left="5760" w:hanging="360"/>
      </w:pPr>
    </w:lvl>
    <w:lvl w:ilvl="8" w:tplc="DC960192" w:tentative="1">
      <w:start w:val="1"/>
      <w:numFmt w:val="lowerRoman"/>
      <w:lvlText w:val="%9."/>
      <w:lvlJc w:val="right"/>
      <w:pPr>
        <w:ind w:left="6480" w:hanging="180"/>
      </w:pPr>
    </w:lvl>
  </w:abstractNum>
  <w:abstractNum w:abstractNumId="2">
    <w:nsid w:val="38DA3D0C"/>
    <w:multiLevelType w:val="hybridMultilevel"/>
    <w:tmpl w:val="4B4E3D26"/>
    <w:lvl w:ilvl="0" w:tplc="6568A84E">
      <w:start w:val="1"/>
      <w:numFmt w:val="bullet"/>
      <w:lvlText w:val=""/>
      <w:lvlJc w:val="left"/>
      <w:pPr>
        <w:ind w:left="720" w:hanging="360"/>
      </w:pPr>
      <w:rPr>
        <w:rFonts w:ascii="Symbol" w:hAnsi="Symbol" w:hint="default"/>
      </w:rPr>
    </w:lvl>
    <w:lvl w:ilvl="1" w:tplc="2318A9FA" w:tentative="1">
      <w:start w:val="1"/>
      <w:numFmt w:val="bullet"/>
      <w:lvlText w:val="o"/>
      <w:lvlJc w:val="left"/>
      <w:pPr>
        <w:ind w:left="1440" w:hanging="360"/>
      </w:pPr>
      <w:rPr>
        <w:rFonts w:ascii="Courier New" w:hAnsi="Courier New" w:cs="Courier New" w:hint="default"/>
      </w:rPr>
    </w:lvl>
    <w:lvl w:ilvl="2" w:tplc="52701F7E" w:tentative="1">
      <w:start w:val="1"/>
      <w:numFmt w:val="bullet"/>
      <w:lvlText w:val=""/>
      <w:lvlJc w:val="left"/>
      <w:pPr>
        <w:ind w:left="2160" w:hanging="360"/>
      </w:pPr>
      <w:rPr>
        <w:rFonts w:ascii="Wingdings" w:hAnsi="Wingdings" w:hint="default"/>
      </w:rPr>
    </w:lvl>
    <w:lvl w:ilvl="3" w:tplc="7906818E" w:tentative="1">
      <w:start w:val="1"/>
      <w:numFmt w:val="bullet"/>
      <w:lvlText w:val=""/>
      <w:lvlJc w:val="left"/>
      <w:pPr>
        <w:ind w:left="2880" w:hanging="360"/>
      </w:pPr>
      <w:rPr>
        <w:rFonts w:ascii="Symbol" w:hAnsi="Symbol" w:hint="default"/>
      </w:rPr>
    </w:lvl>
    <w:lvl w:ilvl="4" w:tplc="B85E9F20" w:tentative="1">
      <w:start w:val="1"/>
      <w:numFmt w:val="bullet"/>
      <w:lvlText w:val="o"/>
      <w:lvlJc w:val="left"/>
      <w:pPr>
        <w:ind w:left="3600" w:hanging="360"/>
      </w:pPr>
      <w:rPr>
        <w:rFonts w:ascii="Courier New" w:hAnsi="Courier New" w:cs="Courier New" w:hint="default"/>
      </w:rPr>
    </w:lvl>
    <w:lvl w:ilvl="5" w:tplc="0CC08ABC" w:tentative="1">
      <w:start w:val="1"/>
      <w:numFmt w:val="bullet"/>
      <w:lvlText w:val=""/>
      <w:lvlJc w:val="left"/>
      <w:pPr>
        <w:ind w:left="4320" w:hanging="360"/>
      </w:pPr>
      <w:rPr>
        <w:rFonts w:ascii="Wingdings" w:hAnsi="Wingdings" w:hint="default"/>
      </w:rPr>
    </w:lvl>
    <w:lvl w:ilvl="6" w:tplc="BF4403CE" w:tentative="1">
      <w:start w:val="1"/>
      <w:numFmt w:val="bullet"/>
      <w:lvlText w:val=""/>
      <w:lvlJc w:val="left"/>
      <w:pPr>
        <w:ind w:left="5040" w:hanging="360"/>
      </w:pPr>
      <w:rPr>
        <w:rFonts w:ascii="Symbol" w:hAnsi="Symbol" w:hint="default"/>
      </w:rPr>
    </w:lvl>
    <w:lvl w:ilvl="7" w:tplc="738AEB82" w:tentative="1">
      <w:start w:val="1"/>
      <w:numFmt w:val="bullet"/>
      <w:lvlText w:val="o"/>
      <w:lvlJc w:val="left"/>
      <w:pPr>
        <w:ind w:left="5760" w:hanging="360"/>
      </w:pPr>
      <w:rPr>
        <w:rFonts w:ascii="Courier New" w:hAnsi="Courier New" w:cs="Courier New" w:hint="default"/>
      </w:rPr>
    </w:lvl>
    <w:lvl w:ilvl="8" w:tplc="6A12CE04" w:tentative="1">
      <w:start w:val="1"/>
      <w:numFmt w:val="bullet"/>
      <w:lvlText w:val=""/>
      <w:lvlJc w:val="left"/>
      <w:pPr>
        <w:ind w:left="6480" w:hanging="360"/>
      </w:pPr>
      <w:rPr>
        <w:rFonts w:ascii="Wingdings" w:hAnsi="Wingdings" w:hint="default"/>
      </w:rPr>
    </w:lvl>
  </w:abstractNum>
  <w:abstractNum w:abstractNumId="3">
    <w:nsid w:val="4B1407E5"/>
    <w:multiLevelType w:val="hybridMultilevel"/>
    <w:tmpl w:val="1B8E6FA6"/>
    <w:lvl w:ilvl="0" w:tplc="10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6025DB"/>
    <w:multiLevelType w:val="hybridMultilevel"/>
    <w:tmpl w:val="223CB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B1537A"/>
    <w:multiLevelType w:val="hybridMultilevel"/>
    <w:tmpl w:val="6C9E4086"/>
    <w:lvl w:ilvl="0" w:tplc="F7400796">
      <w:start w:val="1"/>
      <w:numFmt w:val="lowerRoman"/>
      <w:lvlText w:val="%1."/>
      <w:lvlJc w:val="right"/>
      <w:pPr>
        <w:ind w:left="720" w:hanging="360"/>
      </w:pPr>
    </w:lvl>
    <w:lvl w:ilvl="1" w:tplc="5F3C03BE" w:tentative="1">
      <w:start w:val="1"/>
      <w:numFmt w:val="lowerLetter"/>
      <w:lvlText w:val="%2."/>
      <w:lvlJc w:val="left"/>
      <w:pPr>
        <w:ind w:left="1440" w:hanging="360"/>
      </w:pPr>
    </w:lvl>
    <w:lvl w:ilvl="2" w:tplc="D122A308" w:tentative="1">
      <w:start w:val="1"/>
      <w:numFmt w:val="lowerRoman"/>
      <w:lvlText w:val="%3."/>
      <w:lvlJc w:val="right"/>
      <w:pPr>
        <w:ind w:left="2160" w:hanging="180"/>
      </w:pPr>
    </w:lvl>
    <w:lvl w:ilvl="3" w:tplc="07FCBDA0" w:tentative="1">
      <w:start w:val="1"/>
      <w:numFmt w:val="decimal"/>
      <w:lvlText w:val="%4."/>
      <w:lvlJc w:val="left"/>
      <w:pPr>
        <w:ind w:left="2880" w:hanging="360"/>
      </w:pPr>
    </w:lvl>
    <w:lvl w:ilvl="4" w:tplc="47447AF4" w:tentative="1">
      <w:start w:val="1"/>
      <w:numFmt w:val="lowerLetter"/>
      <w:lvlText w:val="%5."/>
      <w:lvlJc w:val="left"/>
      <w:pPr>
        <w:ind w:left="3600" w:hanging="360"/>
      </w:pPr>
    </w:lvl>
    <w:lvl w:ilvl="5" w:tplc="87D8E242" w:tentative="1">
      <w:start w:val="1"/>
      <w:numFmt w:val="lowerRoman"/>
      <w:lvlText w:val="%6."/>
      <w:lvlJc w:val="right"/>
      <w:pPr>
        <w:ind w:left="4320" w:hanging="180"/>
      </w:pPr>
    </w:lvl>
    <w:lvl w:ilvl="6" w:tplc="AF74641E" w:tentative="1">
      <w:start w:val="1"/>
      <w:numFmt w:val="decimal"/>
      <w:lvlText w:val="%7."/>
      <w:lvlJc w:val="left"/>
      <w:pPr>
        <w:ind w:left="5040" w:hanging="360"/>
      </w:pPr>
    </w:lvl>
    <w:lvl w:ilvl="7" w:tplc="58DA2B6E" w:tentative="1">
      <w:start w:val="1"/>
      <w:numFmt w:val="lowerLetter"/>
      <w:lvlText w:val="%8."/>
      <w:lvlJc w:val="left"/>
      <w:pPr>
        <w:ind w:left="5760" w:hanging="360"/>
      </w:pPr>
    </w:lvl>
    <w:lvl w:ilvl="8" w:tplc="76D06F98"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B"/>
    <w:rsid w:val="00006013"/>
    <w:rsid w:val="00007E1A"/>
    <w:rsid w:val="00021F87"/>
    <w:rsid w:val="000356A8"/>
    <w:rsid w:val="00040682"/>
    <w:rsid w:val="000503B6"/>
    <w:rsid w:val="00065339"/>
    <w:rsid w:val="0006707F"/>
    <w:rsid w:val="00071F72"/>
    <w:rsid w:val="00076317"/>
    <w:rsid w:val="00085728"/>
    <w:rsid w:val="00085A7E"/>
    <w:rsid w:val="0009239E"/>
    <w:rsid w:val="00093984"/>
    <w:rsid w:val="000C3195"/>
    <w:rsid w:val="000C50C9"/>
    <w:rsid w:val="000C541A"/>
    <w:rsid w:val="000D70F6"/>
    <w:rsid w:val="00106F9B"/>
    <w:rsid w:val="001115AF"/>
    <w:rsid w:val="00111D49"/>
    <w:rsid w:val="001328C3"/>
    <w:rsid w:val="00140D3E"/>
    <w:rsid w:val="00144CC8"/>
    <w:rsid w:val="00146D5F"/>
    <w:rsid w:val="0019128B"/>
    <w:rsid w:val="00192BF3"/>
    <w:rsid w:val="001B55F5"/>
    <w:rsid w:val="001C5B66"/>
    <w:rsid w:val="001C7CA5"/>
    <w:rsid w:val="001D181E"/>
    <w:rsid w:val="001D29F6"/>
    <w:rsid w:val="001D3948"/>
    <w:rsid w:val="001D6702"/>
    <w:rsid w:val="001D6B46"/>
    <w:rsid w:val="001E3C0B"/>
    <w:rsid w:val="00205C66"/>
    <w:rsid w:val="0021072A"/>
    <w:rsid w:val="002119B4"/>
    <w:rsid w:val="00212310"/>
    <w:rsid w:val="002153DF"/>
    <w:rsid w:val="002162C1"/>
    <w:rsid w:val="00235AB8"/>
    <w:rsid w:val="0024775F"/>
    <w:rsid w:val="00250F1E"/>
    <w:rsid w:val="002540AE"/>
    <w:rsid w:val="0025768C"/>
    <w:rsid w:val="0028520B"/>
    <w:rsid w:val="00294EC0"/>
    <w:rsid w:val="00295AD6"/>
    <w:rsid w:val="002A6E48"/>
    <w:rsid w:val="002B070F"/>
    <w:rsid w:val="002B28E6"/>
    <w:rsid w:val="002C5761"/>
    <w:rsid w:val="002E0C45"/>
    <w:rsid w:val="002E323B"/>
    <w:rsid w:val="0030588D"/>
    <w:rsid w:val="003137E7"/>
    <w:rsid w:val="0032549F"/>
    <w:rsid w:val="0033332F"/>
    <w:rsid w:val="00345B55"/>
    <w:rsid w:val="00356213"/>
    <w:rsid w:val="00367188"/>
    <w:rsid w:val="00367E6D"/>
    <w:rsid w:val="00376A24"/>
    <w:rsid w:val="003A028B"/>
    <w:rsid w:val="003A2E95"/>
    <w:rsid w:val="00413B7D"/>
    <w:rsid w:val="00415D70"/>
    <w:rsid w:val="00424908"/>
    <w:rsid w:val="0043638C"/>
    <w:rsid w:val="00445E8B"/>
    <w:rsid w:val="0045395D"/>
    <w:rsid w:val="00465DF5"/>
    <w:rsid w:val="0047247E"/>
    <w:rsid w:val="00474E66"/>
    <w:rsid w:val="0048046A"/>
    <w:rsid w:val="00490E9D"/>
    <w:rsid w:val="004A0C02"/>
    <w:rsid w:val="004A64A7"/>
    <w:rsid w:val="004B60A8"/>
    <w:rsid w:val="004C490B"/>
    <w:rsid w:val="004D1F73"/>
    <w:rsid w:val="004F5F26"/>
    <w:rsid w:val="004F6A64"/>
    <w:rsid w:val="005029B7"/>
    <w:rsid w:val="005135C6"/>
    <w:rsid w:val="00550857"/>
    <w:rsid w:val="00551462"/>
    <w:rsid w:val="0055684B"/>
    <w:rsid w:val="005A42D9"/>
    <w:rsid w:val="005A62FB"/>
    <w:rsid w:val="005C2821"/>
    <w:rsid w:val="005C72E8"/>
    <w:rsid w:val="005D5FEB"/>
    <w:rsid w:val="005D6FE4"/>
    <w:rsid w:val="005E05C5"/>
    <w:rsid w:val="00617D8A"/>
    <w:rsid w:val="00620CA1"/>
    <w:rsid w:val="0063766C"/>
    <w:rsid w:val="006625DE"/>
    <w:rsid w:val="00671C39"/>
    <w:rsid w:val="00676499"/>
    <w:rsid w:val="0068416D"/>
    <w:rsid w:val="00690410"/>
    <w:rsid w:val="00695D4B"/>
    <w:rsid w:val="006A4F27"/>
    <w:rsid w:val="006B1D4E"/>
    <w:rsid w:val="006B3340"/>
    <w:rsid w:val="006C5B93"/>
    <w:rsid w:val="006C7822"/>
    <w:rsid w:val="006D0D13"/>
    <w:rsid w:val="006D7690"/>
    <w:rsid w:val="006E16C8"/>
    <w:rsid w:val="006E5560"/>
    <w:rsid w:val="006E6300"/>
    <w:rsid w:val="006F0CAA"/>
    <w:rsid w:val="006F3F78"/>
    <w:rsid w:val="006F41FC"/>
    <w:rsid w:val="007079EA"/>
    <w:rsid w:val="00712AE0"/>
    <w:rsid w:val="007232ED"/>
    <w:rsid w:val="0072527A"/>
    <w:rsid w:val="007270A3"/>
    <w:rsid w:val="00752D42"/>
    <w:rsid w:val="0077655D"/>
    <w:rsid w:val="00776733"/>
    <w:rsid w:val="00792DF9"/>
    <w:rsid w:val="007D6BCF"/>
    <w:rsid w:val="007E4866"/>
    <w:rsid w:val="007E5D38"/>
    <w:rsid w:val="007F4F3A"/>
    <w:rsid w:val="00836352"/>
    <w:rsid w:val="00850FE5"/>
    <w:rsid w:val="008523FE"/>
    <w:rsid w:val="00860C12"/>
    <w:rsid w:val="008646BD"/>
    <w:rsid w:val="0087019F"/>
    <w:rsid w:val="00884502"/>
    <w:rsid w:val="0089319C"/>
    <w:rsid w:val="0089488C"/>
    <w:rsid w:val="008B23B7"/>
    <w:rsid w:val="008B3D4C"/>
    <w:rsid w:val="008B4226"/>
    <w:rsid w:val="008B5ACB"/>
    <w:rsid w:val="008C6FA5"/>
    <w:rsid w:val="008D54DC"/>
    <w:rsid w:val="008F29D2"/>
    <w:rsid w:val="008F3955"/>
    <w:rsid w:val="009017B5"/>
    <w:rsid w:val="00922505"/>
    <w:rsid w:val="00927682"/>
    <w:rsid w:val="00944A3F"/>
    <w:rsid w:val="009478C8"/>
    <w:rsid w:val="00955F03"/>
    <w:rsid w:val="009560DB"/>
    <w:rsid w:val="00960273"/>
    <w:rsid w:val="00970E83"/>
    <w:rsid w:val="0097726B"/>
    <w:rsid w:val="009977FC"/>
    <w:rsid w:val="009A16A5"/>
    <w:rsid w:val="009A4C6F"/>
    <w:rsid w:val="009C329E"/>
    <w:rsid w:val="009E2386"/>
    <w:rsid w:val="009F4317"/>
    <w:rsid w:val="00A1457E"/>
    <w:rsid w:val="00A32974"/>
    <w:rsid w:val="00A34506"/>
    <w:rsid w:val="00A43878"/>
    <w:rsid w:val="00A4669F"/>
    <w:rsid w:val="00A50D6D"/>
    <w:rsid w:val="00A55B56"/>
    <w:rsid w:val="00A8252F"/>
    <w:rsid w:val="00A83830"/>
    <w:rsid w:val="00A96B1E"/>
    <w:rsid w:val="00AB1494"/>
    <w:rsid w:val="00AB5E71"/>
    <w:rsid w:val="00AC229A"/>
    <w:rsid w:val="00AC49E6"/>
    <w:rsid w:val="00AD7A04"/>
    <w:rsid w:val="00AE71ED"/>
    <w:rsid w:val="00AF081B"/>
    <w:rsid w:val="00AF666C"/>
    <w:rsid w:val="00AF70FB"/>
    <w:rsid w:val="00B11271"/>
    <w:rsid w:val="00B12000"/>
    <w:rsid w:val="00B2242E"/>
    <w:rsid w:val="00B2350B"/>
    <w:rsid w:val="00B31988"/>
    <w:rsid w:val="00B36272"/>
    <w:rsid w:val="00B44828"/>
    <w:rsid w:val="00B456E2"/>
    <w:rsid w:val="00B525CD"/>
    <w:rsid w:val="00B623DC"/>
    <w:rsid w:val="00B64389"/>
    <w:rsid w:val="00B73084"/>
    <w:rsid w:val="00BB1910"/>
    <w:rsid w:val="00BB48CF"/>
    <w:rsid w:val="00BC3EDC"/>
    <w:rsid w:val="00BD6E4C"/>
    <w:rsid w:val="00BE1268"/>
    <w:rsid w:val="00C1121D"/>
    <w:rsid w:val="00C317C5"/>
    <w:rsid w:val="00C3236A"/>
    <w:rsid w:val="00C35B4A"/>
    <w:rsid w:val="00C36742"/>
    <w:rsid w:val="00C44608"/>
    <w:rsid w:val="00C96326"/>
    <w:rsid w:val="00CA1428"/>
    <w:rsid w:val="00CA5DAB"/>
    <w:rsid w:val="00CB2CA2"/>
    <w:rsid w:val="00CB3CB8"/>
    <w:rsid w:val="00CC10E7"/>
    <w:rsid w:val="00CD2278"/>
    <w:rsid w:val="00CD734F"/>
    <w:rsid w:val="00CF0A79"/>
    <w:rsid w:val="00D17A76"/>
    <w:rsid w:val="00D3003F"/>
    <w:rsid w:val="00D417A0"/>
    <w:rsid w:val="00D42B1C"/>
    <w:rsid w:val="00D44369"/>
    <w:rsid w:val="00D44B29"/>
    <w:rsid w:val="00D63303"/>
    <w:rsid w:val="00D64291"/>
    <w:rsid w:val="00D71ECA"/>
    <w:rsid w:val="00D73408"/>
    <w:rsid w:val="00D765D4"/>
    <w:rsid w:val="00D844CC"/>
    <w:rsid w:val="00D86804"/>
    <w:rsid w:val="00D96F06"/>
    <w:rsid w:val="00DA2E5E"/>
    <w:rsid w:val="00DA560A"/>
    <w:rsid w:val="00DE0C3D"/>
    <w:rsid w:val="00DF1B4E"/>
    <w:rsid w:val="00DF481E"/>
    <w:rsid w:val="00E06680"/>
    <w:rsid w:val="00E07B0D"/>
    <w:rsid w:val="00E07EE4"/>
    <w:rsid w:val="00E12FB0"/>
    <w:rsid w:val="00E2663F"/>
    <w:rsid w:val="00E40A17"/>
    <w:rsid w:val="00E430DA"/>
    <w:rsid w:val="00E57A4F"/>
    <w:rsid w:val="00E84A92"/>
    <w:rsid w:val="00E91E2E"/>
    <w:rsid w:val="00EB1BF7"/>
    <w:rsid w:val="00EB36EC"/>
    <w:rsid w:val="00EB7C42"/>
    <w:rsid w:val="00ED0D54"/>
    <w:rsid w:val="00EE0CEB"/>
    <w:rsid w:val="00EF12A2"/>
    <w:rsid w:val="00F0009F"/>
    <w:rsid w:val="00F20864"/>
    <w:rsid w:val="00F340E6"/>
    <w:rsid w:val="00F47324"/>
    <w:rsid w:val="00F619F7"/>
    <w:rsid w:val="00F84CB9"/>
    <w:rsid w:val="00F86B2C"/>
    <w:rsid w:val="00F87620"/>
    <w:rsid w:val="00F93000"/>
    <w:rsid w:val="00F96FD5"/>
    <w:rsid w:val="00FA5860"/>
    <w:rsid w:val="00FE1576"/>
    <w:rsid w:val="00FE5453"/>
    <w:rsid w:val="00FF7819"/>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qFormat/>
    <w:rsid w:val="00456DF9"/>
  </w:style>
  <w:style w:type="character" w:styleId="Hyperlink">
    <w:name w:val="Hyperlink"/>
    <w:basedOn w:val="DefaultParagraphFont"/>
    <w:uiPriority w:val="99"/>
    <w:unhideWhenUsed/>
    <w:rsid w:val="00FF142A"/>
    <w:rPr>
      <w:color w:val="0000FF" w:themeColor="hyperlink"/>
      <w:u w:val="single"/>
    </w:rPr>
  </w:style>
  <w:style w:type="paragraph" w:styleId="Header">
    <w:name w:val="header"/>
    <w:basedOn w:val="Normal"/>
    <w:link w:val="HeaderChar"/>
    <w:uiPriority w:val="99"/>
    <w:unhideWhenUsed/>
    <w:rsid w:val="006963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3D1"/>
    <w:rPr>
      <w:lang w:val="en-US"/>
    </w:rPr>
  </w:style>
  <w:style w:type="paragraph" w:styleId="Footer">
    <w:name w:val="footer"/>
    <w:basedOn w:val="Normal"/>
    <w:link w:val="FooterChar"/>
    <w:uiPriority w:val="99"/>
    <w:unhideWhenUsed/>
    <w:rsid w:val="006963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3D1"/>
    <w:rPr>
      <w:lang w:val="en-US"/>
    </w:rPr>
  </w:style>
  <w:style w:type="table" w:styleId="TableGrid">
    <w:name w:val="Table Grid"/>
    <w:basedOn w:val="TableNormal"/>
    <w:uiPriority w:val="59"/>
    <w:rsid w:val="0071194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D60B80"/>
    <w:rPr>
      <w:i/>
      <w:iCs/>
    </w:rPr>
  </w:style>
  <w:style w:type="paragraph" w:styleId="Bibliography">
    <w:name w:val="Bibliography"/>
    <w:basedOn w:val="Normal"/>
    <w:next w:val="Normal"/>
    <w:uiPriority w:val="37"/>
    <w:unhideWhenUsed/>
    <w:rsid w:val="00D60B80"/>
    <w:pPr>
      <w:spacing w:after="160" w:line="259" w:lineRule="auto"/>
    </w:pPr>
  </w:style>
  <w:style w:type="paragraph" w:styleId="ListParagraph">
    <w:name w:val="List Paragraph"/>
    <w:basedOn w:val="Normal"/>
    <w:uiPriority w:val="34"/>
    <w:qFormat/>
    <w:rsid w:val="003F3416"/>
    <w:pPr>
      <w:ind w:left="720"/>
      <w:contextualSpacing/>
    </w:pPr>
  </w:style>
  <w:style w:type="paragraph" w:styleId="BalloonText">
    <w:name w:val="Balloon Text"/>
    <w:basedOn w:val="Normal"/>
    <w:link w:val="BalloonTextChar"/>
    <w:uiPriority w:val="99"/>
    <w:semiHidden/>
    <w:unhideWhenUsed/>
    <w:rsid w:val="00D42A5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2A58"/>
    <w:rPr>
      <w:rFonts w:ascii="Tahoma" w:hAnsi="Tahoma" w:cs="Tahoma"/>
      <w:sz w:val="16"/>
      <w:szCs w:val="16"/>
      <w:lang w:val="en-US"/>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EE0CEB"/>
    <w:pPr>
      <w:spacing w:line="240" w:lineRule="auto"/>
    </w:pPr>
    <w:rPr>
      <w:sz w:val="20"/>
      <w:szCs w:val="20"/>
    </w:rPr>
  </w:style>
  <w:style w:type="character" w:customStyle="1" w:styleId="CommentTextChar">
    <w:name w:val="Comment Text Char"/>
    <w:basedOn w:val="DefaultParagraphFont"/>
    <w:link w:val="CommentText"/>
    <w:uiPriority w:val="99"/>
    <w:semiHidden/>
    <w:rsid w:val="00EE0CEB"/>
    <w:rPr>
      <w:sz w:val="20"/>
      <w:szCs w:val="20"/>
      <w:lang w:val="en-US"/>
    </w:rPr>
  </w:style>
  <w:style w:type="character" w:customStyle="1" w:styleId="VisitedInternetLink">
    <w:name w:val="Visited Internet Link"/>
    <w:rsid w:val="00BB48CF"/>
    <w:rPr>
      <w:color w:val="80000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Cor18</b:Tag>
    <b:SourceType>DocumentFromInternetSite</b:SourceType>
    <b:Guid>{D2922FA8-A0C5-45FE-B257-229175CD4CB2}</b:Guid>
    <b:Author>
      <b:Author>
        <b:NameList>
          <b:Person>
            <b:Last>Corporatefinanceinstitute</b:Last>
          </b:Person>
        </b:NameList>
      </b:Author>
    </b:Author>
    <b:Title>Corporate Strategy Learn about the 4 pillars</b:Title>
    <b:InternetSiteTitle>Corporate Finance Institute</b:InternetSiteTitle>
    <b:Year>2018</b:Year>
    <b:YearAccessed>2018</b:YearAccessed>
    <b:MonthAccessed>November</b:MonthAccessed>
    <b:URL>https://corporatefinanceinstitute.com/resources/knowledge/strategy/corporate-strategy/</b:URL>
    <b:RefOrder>1</b:RefOrder>
  </b:Source>
</b:Sources>
</file>

<file path=customXml/itemProps1.xml><?xml version="1.0" encoding="utf-8"?>
<ds:datastoreItem xmlns:ds="http://schemas.openxmlformats.org/officeDocument/2006/customXml" ds:itemID="{97D3B4BC-91BA-4AC4-ACEF-D25DC32F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302</Words>
  <Characters>1725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2018-12-02T22:06:00Z</dcterms:created>
  <dcterms:modified xsi:type="dcterms:W3CDTF">2018-12-02T22:06:00Z</dcterms:modified>
</cp:coreProperties>
</file>